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1"/>
      </w:pPr>
      <w:r>
        <w:t xml:space="preserve">Реорганизация юридического лица в форме преобразования</w:t>
      </w:r>
      <w:r/>
    </w:p>
    <w:p>
      <w:r>
        <w:t xml:space="preserve">Эффективный и легальный способ замены корпоративного устройства и правового регулирования комп</w:t>
      </w:r>
      <w:r>
        <w:t xml:space="preserve">ании – реорганизация путем преобразования. В рамках процедуры происходит замена организационно-правовой формы и статуса, например, с акционерного общества на общество с ограниченной ответственностью. Проведение взаиморасчетов с контрагентами не требуется. </w:t>
      </w:r>
      <w:r/>
    </w:p>
    <w:p>
      <w:pPr>
        <w:pStyle w:val="642"/>
      </w:pPr>
      <w:r>
        <w:t xml:space="preserve">Реорганизация юридического лица путем преобразования: алгоритм действий</w:t>
      </w:r>
      <w:r/>
    </w:p>
    <w:p>
      <w:r>
        <w:t xml:space="preserve">Преоб</w:t>
      </w:r>
      <w:r>
        <w:t xml:space="preserve">разование означает, что юридическое лицо в процессе преобразования изменит свой организационно-правовой статус с одного на другой. Процедура включает 3 этапа:</w:t>
      </w:r>
      <w:r/>
    </w:p>
    <w:p>
      <w:pPr>
        <w:pStyle w:val="821"/>
        <w:numPr>
          <w:ilvl w:val="0"/>
          <w:numId w:val="1"/>
        </w:numPr>
      </w:pPr>
      <w:r>
        <w:t xml:space="preserve">Подготовительный этап. </w:t>
      </w:r>
      <w:r/>
    </w:p>
    <w:p>
      <w:r>
        <w:t xml:space="preserve">До со</w:t>
      </w:r>
      <w:r>
        <w:t xml:space="preserve">зыва общего собрания или собрания акционеров необходимо подготовить проект устава или учредительного договора нового юридического лица, также при необходимости определите цену выкупа акций общества. Подготовка также включает полную инвентаризацию имущества</w:t>
      </w:r>
      <w:r>
        <w:rPr>
          <w:strike/>
        </w:rPr>
        <w:t xml:space="preserve"> </w:t>
      </w:r>
      <w:r>
        <w:t xml:space="preserve">компании. В случае реорганизации АО необходимо подготовить список акционеров</w:t>
      </w:r>
      <w:r>
        <w:t xml:space="preserve">,</w:t>
      </w:r>
      <w:r>
        <w:t xml:space="preserve"> имеющих право требовать выкупа обществом принадлежащи</w:t>
      </w:r>
      <w:r>
        <w:t xml:space="preserve">х</w:t>
      </w:r>
      <w:r>
        <w:t xml:space="preserve"> им акций.</w:t>
      </w:r>
      <w:r/>
    </w:p>
    <w:p>
      <w:pPr>
        <w:pStyle w:val="821"/>
        <w:numPr>
          <w:ilvl w:val="0"/>
          <w:numId w:val="1"/>
        </w:numPr>
      </w:pPr>
      <w:r>
        <w:t xml:space="preserve">Созыв собрания и основная часть процедуры.</w:t>
      </w:r>
      <w:r/>
    </w:p>
    <w:p>
      <w:r>
        <w:t xml:space="preserve">Реорганизация в форме преобразования узаконивается решением, принятым на общем собрании путем составления и подписания протокола, </w:t>
      </w:r>
      <w:r>
        <w:t xml:space="preserve">на этом же собрании решаются вопросы о порядке и условиях преобразования, порядок обмена долей или акций участников, утверждение учредительных документов.</w:t>
      </w:r>
      <w:r>
        <w:t xml:space="preserve"> Сопутствующие действия:</w:t>
      </w:r>
      <w:r/>
    </w:p>
    <w:p>
      <w:pPr>
        <w:pStyle w:val="821"/>
        <w:numPr>
          <w:ilvl w:val="0"/>
          <w:numId w:val="2"/>
        </w:numPr>
      </w:pPr>
      <w:r>
        <w:t xml:space="preserve">уведомить </w:t>
      </w:r>
      <w:r>
        <w:t xml:space="preserve">регистрирующий орган о старте реструктуризации, заполнив форму Р12003 в течени</w:t>
      </w:r>
      <w:r>
        <w:t xml:space="preserve">е</w:t>
      </w:r>
      <w:r>
        <w:t xml:space="preserve"> трёх рабочих дней после принятия соответствующего решения;</w:t>
      </w:r>
      <w:r/>
    </w:p>
    <w:p>
      <w:pPr>
        <w:pStyle w:val="821"/>
        <w:numPr>
          <w:ilvl w:val="0"/>
          <w:numId w:val="2"/>
        </w:numPr>
      </w:pPr>
      <w:r>
        <w:t xml:space="preserve">также в течени</w:t>
      </w:r>
      <w:r>
        <w:t xml:space="preserve">е</w:t>
      </w:r>
      <w:r>
        <w:t xml:space="preserve"> трёх рабочих дней необходимо внести сведения о реорганизации в Федресурс;</w:t>
      </w:r>
      <w:r/>
    </w:p>
    <w:p>
      <w:pPr>
        <w:pStyle w:val="821"/>
        <w:numPr>
          <w:ilvl w:val="0"/>
          <w:numId w:val="2"/>
        </w:numPr>
        <w:rPr>
          <w:strike/>
        </w:rPr>
      </w:pPr>
      <w:r>
        <w:t xml:space="preserve">опубликовать сведения о процедуре в Вестник государственной регистрации</w:t>
      </w:r>
      <w:r>
        <w:t xml:space="preserve">.</w:t>
      </w:r>
      <w:r>
        <w:t xml:space="preserve"> </w:t>
      </w:r>
      <w:r>
        <w:t xml:space="preserve">С</w:t>
      </w:r>
      <w:r>
        <w:t xml:space="preserve">ообщение подаётся два раза, с периодичность в один месяц.</w:t>
      </w:r>
      <w:r/>
    </w:p>
    <w:p>
      <w:pPr>
        <w:pStyle w:val="821"/>
        <w:numPr>
          <w:ilvl w:val="0"/>
          <w:numId w:val="2"/>
        </w:numPr>
      </w:pPr>
      <w:r>
        <w:t xml:space="preserve">выкупить акции у акционеров, если преобразуется АО, или зарегистрировать выпуск акций, если процедура проводится с ООО. </w:t>
      </w:r>
      <w:r/>
    </w:p>
    <w:p>
      <w:pPr>
        <w:pStyle w:val="821"/>
      </w:pPr>
      <w:r/>
      <w:r/>
    </w:p>
    <w:p>
      <w:pPr>
        <w:pStyle w:val="821"/>
        <w:numPr>
          <w:ilvl w:val="0"/>
          <w:numId w:val="1"/>
        </w:numPr>
      </w:pPr>
      <w:r>
        <w:t xml:space="preserve">Регистрация новой компании.</w:t>
      </w:r>
      <w:r/>
    </w:p>
    <w:p>
      <w:r>
        <w:t xml:space="preserve">Внесение изменений в ЕГРЮЛ – единственное подтверждение, что реорганизация</w:t>
      </w:r>
      <w:r>
        <w:t xml:space="preserve"> путем</w:t>
      </w:r>
      <w:r>
        <w:t xml:space="preserve"> преобразовани</w:t>
      </w:r>
      <w:r>
        <w:t xml:space="preserve">я</w:t>
      </w:r>
      <w:r>
        <w:t xml:space="preserve"> прошл</w:t>
      </w:r>
      <w:r>
        <w:t xml:space="preserve">а</w:t>
      </w:r>
      <w:r>
        <w:t xml:space="preserve"> успешно. Для этого уполномоченное лицо от имени компании должно подать в налоговую службу укомплектованный пакет документов и заявление по форме Р12016. </w:t>
      </w:r>
      <w:r/>
    </w:p>
    <w:p>
      <w:pPr>
        <w:pStyle w:val="643"/>
      </w:pPr>
      <w:r>
        <w:t xml:space="preserve">Как оформлять бухгалтерскую отчетность?</w:t>
      </w:r>
      <w:r/>
    </w:p>
    <w:p>
      <w:r>
        <w:t xml:space="preserve">Формат подразумевает, что бухгалтер не обязан оформлять вступительную и заключительную отчетность. После смены статуса компании бухгалтерский учет ведется в обычном порядке, без перерыва. </w:t>
      </w:r>
      <w:r/>
    </w:p>
    <w:p>
      <w:r>
        <w:t xml:space="preserve">Состав отчетности остается п</w:t>
      </w:r>
      <w:r>
        <w:t xml:space="preserve">режним. Отчетный период рассчитывается как календарный год. В новую отчетность будут включены месяцы до и после того, как состоялась реорганизация юридического лица путем преобразования. Учету подлежат статистические данные за аналогичный прошлый период.  </w:t>
      </w:r>
      <w:r/>
    </w:p>
    <w:p>
      <w:pPr>
        <w:pStyle w:val="642"/>
      </w:pPr>
      <w:r>
        <w:t xml:space="preserve">Реорганизация в форме преобразования: ограничения </w:t>
      </w:r>
      <w:r/>
    </w:p>
    <w:p>
      <w:r>
        <w:t xml:space="preserve">Закон ограничивает перечень субъектов хозяйствования, которые могут преобразовываться в рамках реорганизации. Этот формат не доступен для:</w:t>
      </w:r>
      <w:r/>
    </w:p>
    <w:p>
      <w:pPr>
        <w:pStyle w:val="821"/>
        <w:numPr>
          <w:ilvl w:val="0"/>
          <w:numId w:val="3"/>
        </w:numPr>
      </w:pPr>
      <w:r>
        <w:t xml:space="preserve">акционерных обществ и/или обществ с ограниченной ответственностью – в государственные предприятия</w:t>
      </w:r>
      <w:r/>
    </w:p>
    <w:p>
      <w:pPr>
        <w:pStyle w:val="821"/>
        <w:numPr>
          <w:ilvl w:val="0"/>
          <w:numId w:val="3"/>
        </w:numPr>
      </w:pPr>
      <w:r>
        <w:t xml:space="preserve">организации коммерческой формы – в некоммерческие организации;</w:t>
      </w:r>
      <w:r/>
    </w:p>
    <w:p>
      <w:r>
        <w:t xml:space="preserve">Для ООО доступна форма преобразования в производственный кооператив, хозяйственное товарищество или общество другого вида. </w:t>
      </w:r>
      <w:r/>
    </w:p>
    <w:p>
      <w:r>
        <w:t xml:space="preserve">Хозяйственное товарищество, ООО или кооператив – доступные формы для преобразования АО. Вновь регистрируемый бизнес сталкивается с ограничениями в размере уставного капитала: минимум 10 тысяч рублей для АО и ООО.</w:t>
      </w:r>
      <w:r/>
    </w:p>
    <w:p>
      <w:r>
        <w:t xml:space="preserve">Реорганизация путем преобразования как форма изменения правового и организационного статуса не должна использоваться в целях сокрытия имущества, предотвращения очевидного банкротства, коррупционных схемах. </w:t>
      </w:r>
      <w:r/>
    </w:p>
    <w:p>
      <w:pPr>
        <w:pStyle w:val="643"/>
      </w:pPr>
      <w:r>
        <w:t xml:space="preserve">Особенности и нюансы процедуры</w:t>
      </w:r>
      <w:r/>
    </w:p>
    <w:p>
      <w:r>
        <w:t xml:space="preserve">Реорганизация юридического лица в форме преобразования предполагает, что права и обязанности фирмы по отношению к контрагентам и третьим лицам не меняются. Изменение объема правомочий затрагивает исключительно собственников доли участия.</w:t>
      </w:r>
      <w:r/>
    </w:p>
    <w:p>
      <w:r>
        <w:t xml:space="preserve">Вновь созданная компания – полноце</w:t>
      </w:r>
      <w:r>
        <w:t xml:space="preserve">нный правопреемник прежней. При оформлении процедуры перехода закон не требует составлять передаточный акт. Но налоговая служба присваивает новый ИНН. Как следствие, адаптируется новая договорная база и менеджмент вносит коррективы во внутреннюю политику. </w:t>
      </w:r>
      <w:r/>
    </w:p>
    <w:p>
      <w:r>
        <w:t xml:space="preserve">Реорганизация в форме преобразования актуальна для привлечения нового финансирования и повышения инвестиционной привлекательности бизнеса.</w:t>
      </w:r>
      <w:r/>
    </w:p>
    <w:p>
      <w:r>
        <w:t xml:space="preserve">Вам требуется реализация реорганизац</w:t>
      </w:r>
      <w:r>
        <w:t xml:space="preserve">ии в форме преобразования? Не знаете с чего начать и как подойти к процессу? Оставляйте заявку на бесплатную консультацию с нашим юристом, и он расскажет, как реализовать процедуру строго в рамках действующего законодательства без последствий для бизнеса! </w:t>
      </w:r>
      <w:r/>
    </w:p>
    <w:p>
      <w:pPr>
        <w:rPr>
          <w:highlight w:val="yellow"/>
        </w:rPr>
      </w:pPr>
      <w:r>
        <w:rPr>
          <w:highlight w:val="yellow"/>
        </w:rPr>
        <w:t xml:space="preserve">Тайтл</w:t>
      </w:r>
      <w:r>
        <w:rPr>
          <w:highlight w:val="yellow"/>
        </w:rPr>
        <w:t xml:space="preserve">: Реорганизация юридического лица в форме преобразования: как реализовать процедуру?</w:t>
      </w:r>
      <w:r/>
    </w:p>
    <w:p>
      <w:r>
        <w:rPr>
          <w:highlight w:val="yellow"/>
        </w:rPr>
        <w:t xml:space="preserve">Деск</w:t>
      </w:r>
      <w:r>
        <w:rPr>
          <w:highlight w:val="yellow"/>
        </w:rPr>
        <w:t xml:space="preserve">: На</w:t>
      </w:r>
      <w:r>
        <w:rPr>
          <w:highlight w:val="yellow"/>
        </w:rPr>
        <w:t xml:space="preserve"> что необх</w:t>
      </w:r>
      <w:r>
        <w:rPr>
          <w:highlight w:val="yellow"/>
        </w:rPr>
        <w:t xml:space="preserve">одимо обращать внимание при реорганизации компании путем преобразование? Какие ограничения существуют в рамках процедуры? И как этапы компании должны пройти, исходя из своей организационно-правовой формы? Переходите на наш сайт и читайте экспертную статью!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8">
    <w:name w:val="Heading 4 Char"/>
    <w:basedOn w:val="650"/>
    <w:link w:val="644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50"/>
    <w:link w:val="645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50"/>
    <w:link w:val="646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50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50"/>
    <w:link w:val="648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50"/>
    <w:link w:val="649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50"/>
    <w:link w:val="663"/>
    <w:uiPriority w:val="10"/>
    <w:rPr>
      <w:sz w:val="48"/>
      <w:szCs w:val="48"/>
    </w:rPr>
  </w:style>
  <w:style w:type="character" w:styleId="35">
    <w:name w:val="Subtitle Char"/>
    <w:basedOn w:val="650"/>
    <w:link w:val="665"/>
    <w:uiPriority w:val="11"/>
    <w:rPr>
      <w:sz w:val="24"/>
      <w:szCs w:val="24"/>
    </w:rPr>
  </w:style>
  <w:style w:type="character" w:styleId="37">
    <w:name w:val="Quote Char"/>
    <w:link w:val="667"/>
    <w:uiPriority w:val="29"/>
    <w:rPr>
      <w:i/>
    </w:rPr>
  </w:style>
  <w:style w:type="character" w:styleId="39">
    <w:name w:val="Intense Quote Char"/>
    <w:link w:val="669"/>
    <w:uiPriority w:val="30"/>
    <w:rPr>
      <w:i/>
    </w:rPr>
  </w:style>
  <w:style w:type="character" w:styleId="41">
    <w:name w:val="Header Char"/>
    <w:basedOn w:val="650"/>
    <w:link w:val="671"/>
    <w:uiPriority w:val="99"/>
  </w:style>
  <w:style w:type="character" w:styleId="45">
    <w:name w:val="Caption Char"/>
    <w:basedOn w:val="675"/>
    <w:link w:val="673"/>
    <w:uiPriority w:val="99"/>
  </w:style>
  <w:style w:type="character" w:styleId="174">
    <w:name w:val="Footnote Text Char"/>
    <w:link w:val="804"/>
    <w:uiPriority w:val="99"/>
    <w:rPr>
      <w:sz w:val="18"/>
    </w:rPr>
  </w:style>
  <w:style w:type="character" w:styleId="177">
    <w:name w:val="Endnote Text Char"/>
    <w:link w:val="807"/>
    <w:uiPriority w:val="99"/>
    <w:rPr>
      <w:sz w:val="20"/>
    </w:rPr>
  </w:style>
  <w:style w:type="paragraph" w:styleId="640" w:default="1">
    <w:name w:val="Normal"/>
    <w:qFormat/>
  </w:style>
  <w:style w:type="paragraph" w:styleId="641">
    <w:name w:val="Heading 1"/>
    <w:basedOn w:val="640"/>
    <w:next w:val="640"/>
    <w:link w:val="824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42">
    <w:name w:val="Heading 2"/>
    <w:basedOn w:val="640"/>
    <w:next w:val="640"/>
    <w:link w:val="822"/>
    <w:uiPriority w:val="9"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643">
    <w:name w:val="Heading 3"/>
    <w:basedOn w:val="640"/>
    <w:next w:val="640"/>
    <w:link w:val="823"/>
    <w:uiPriority w:val="9"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644">
    <w:name w:val="Heading 4"/>
    <w:basedOn w:val="640"/>
    <w:next w:val="640"/>
    <w:link w:val="65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645">
    <w:name w:val="Heading 5"/>
    <w:basedOn w:val="640"/>
    <w:next w:val="640"/>
    <w:link w:val="6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646">
    <w:name w:val="Heading 6"/>
    <w:basedOn w:val="640"/>
    <w:next w:val="640"/>
    <w:link w:val="6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</w:rPr>
  </w:style>
  <w:style w:type="paragraph" w:styleId="647">
    <w:name w:val="Heading 7"/>
    <w:basedOn w:val="640"/>
    <w:next w:val="640"/>
    <w:link w:val="6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</w:rPr>
  </w:style>
  <w:style w:type="paragraph" w:styleId="648">
    <w:name w:val="Heading 8"/>
    <w:basedOn w:val="640"/>
    <w:next w:val="640"/>
    <w:link w:val="6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</w:rPr>
  </w:style>
  <w:style w:type="paragraph" w:styleId="649">
    <w:name w:val="Heading 9"/>
    <w:basedOn w:val="640"/>
    <w:next w:val="640"/>
    <w:link w:val="6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0" w:default="1">
    <w:name w:val="Default Paragraph Font"/>
    <w:uiPriority w:val="1"/>
    <w:semiHidden/>
    <w:unhideWhenUsed/>
  </w:style>
  <w:style w:type="table" w:styleId="6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2" w:default="1">
    <w:name w:val="No List"/>
    <w:uiPriority w:val="99"/>
    <w:semiHidden/>
    <w:unhideWhenUsed/>
  </w:style>
  <w:style w:type="character" w:styleId="653" w:customStyle="1">
    <w:name w:val="Heading 1 Char"/>
    <w:basedOn w:val="650"/>
    <w:uiPriority w:val="9"/>
    <w:rPr>
      <w:rFonts w:ascii="Arial" w:hAnsi="Arial" w:cs="Arial" w:eastAsia="Arial"/>
      <w:sz w:val="40"/>
      <w:szCs w:val="40"/>
    </w:rPr>
  </w:style>
  <w:style w:type="character" w:styleId="654" w:customStyle="1">
    <w:name w:val="Heading 2 Char"/>
    <w:basedOn w:val="650"/>
    <w:uiPriority w:val="9"/>
    <w:rPr>
      <w:rFonts w:ascii="Arial" w:hAnsi="Arial" w:cs="Arial" w:eastAsia="Arial"/>
      <w:sz w:val="34"/>
    </w:rPr>
  </w:style>
  <w:style w:type="character" w:styleId="655" w:customStyle="1">
    <w:name w:val="Heading 3 Char"/>
    <w:basedOn w:val="650"/>
    <w:uiPriority w:val="9"/>
    <w:rPr>
      <w:rFonts w:ascii="Arial" w:hAnsi="Arial" w:cs="Arial" w:eastAsia="Arial"/>
      <w:sz w:val="30"/>
      <w:szCs w:val="30"/>
    </w:rPr>
  </w:style>
  <w:style w:type="character" w:styleId="656" w:customStyle="1">
    <w:name w:val="Заголовок 4 Знак"/>
    <w:basedOn w:val="650"/>
    <w:link w:val="644"/>
    <w:uiPriority w:val="9"/>
    <w:rPr>
      <w:rFonts w:ascii="Arial" w:hAnsi="Arial" w:cs="Arial" w:eastAsia="Arial"/>
      <w:b/>
      <w:bCs/>
      <w:sz w:val="26"/>
      <w:szCs w:val="26"/>
    </w:rPr>
  </w:style>
  <w:style w:type="character" w:styleId="657" w:customStyle="1">
    <w:name w:val="Заголовок 5 Знак"/>
    <w:basedOn w:val="650"/>
    <w:link w:val="645"/>
    <w:uiPriority w:val="9"/>
    <w:rPr>
      <w:rFonts w:ascii="Arial" w:hAnsi="Arial" w:cs="Arial" w:eastAsia="Arial"/>
      <w:b/>
      <w:bCs/>
      <w:sz w:val="24"/>
      <w:szCs w:val="24"/>
    </w:rPr>
  </w:style>
  <w:style w:type="character" w:styleId="658" w:customStyle="1">
    <w:name w:val="Заголовок 6 Знак"/>
    <w:basedOn w:val="650"/>
    <w:link w:val="646"/>
    <w:uiPriority w:val="9"/>
    <w:rPr>
      <w:rFonts w:ascii="Arial" w:hAnsi="Arial" w:cs="Arial" w:eastAsia="Arial"/>
      <w:b/>
      <w:bCs/>
      <w:sz w:val="22"/>
      <w:szCs w:val="22"/>
    </w:rPr>
  </w:style>
  <w:style w:type="character" w:styleId="659" w:customStyle="1">
    <w:name w:val="Заголовок 7 Знак"/>
    <w:basedOn w:val="650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60" w:customStyle="1">
    <w:name w:val="Заголовок 8 Знак"/>
    <w:basedOn w:val="650"/>
    <w:link w:val="648"/>
    <w:uiPriority w:val="9"/>
    <w:rPr>
      <w:rFonts w:ascii="Arial" w:hAnsi="Arial" w:cs="Arial" w:eastAsia="Arial"/>
      <w:i/>
      <w:iCs/>
      <w:sz w:val="22"/>
      <w:szCs w:val="22"/>
    </w:rPr>
  </w:style>
  <w:style w:type="character" w:styleId="661" w:customStyle="1">
    <w:name w:val="Заголовок 9 Знак"/>
    <w:basedOn w:val="650"/>
    <w:link w:val="649"/>
    <w:uiPriority w:val="9"/>
    <w:rPr>
      <w:rFonts w:ascii="Arial" w:hAnsi="Arial" w:cs="Arial" w:eastAsia="Arial"/>
      <w:i/>
      <w:iCs/>
      <w:sz w:val="21"/>
      <w:szCs w:val="21"/>
    </w:rPr>
  </w:style>
  <w:style w:type="paragraph" w:styleId="662">
    <w:name w:val="No Spacing"/>
    <w:uiPriority w:val="1"/>
    <w:qFormat/>
    <w:pPr>
      <w:spacing w:after="0" w:line="240" w:lineRule="auto"/>
    </w:pPr>
  </w:style>
  <w:style w:type="paragraph" w:styleId="663">
    <w:name w:val="Title"/>
    <w:basedOn w:val="640"/>
    <w:next w:val="640"/>
    <w:link w:val="6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4" w:customStyle="1">
    <w:name w:val="Заголовок Знак"/>
    <w:basedOn w:val="650"/>
    <w:link w:val="663"/>
    <w:uiPriority w:val="10"/>
    <w:rPr>
      <w:sz w:val="48"/>
      <w:szCs w:val="48"/>
    </w:rPr>
  </w:style>
  <w:style w:type="paragraph" w:styleId="665">
    <w:name w:val="Subtitle"/>
    <w:basedOn w:val="640"/>
    <w:next w:val="640"/>
    <w:link w:val="666"/>
    <w:uiPriority w:val="11"/>
    <w:qFormat/>
    <w:pPr>
      <w:spacing w:before="200" w:after="200"/>
    </w:pPr>
    <w:rPr>
      <w:sz w:val="24"/>
      <w:szCs w:val="24"/>
    </w:rPr>
  </w:style>
  <w:style w:type="character" w:styleId="666" w:customStyle="1">
    <w:name w:val="Подзаголовок Знак"/>
    <w:basedOn w:val="650"/>
    <w:link w:val="665"/>
    <w:uiPriority w:val="11"/>
    <w:rPr>
      <w:sz w:val="24"/>
      <w:szCs w:val="24"/>
    </w:rPr>
  </w:style>
  <w:style w:type="paragraph" w:styleId="667">
    <w:name w:val="Quote"/>
    <w:basedOn w:val="640"/>
    <w:next w:val="640"/>
    <w:link w:val="668"/>
    <w:uiPriority w:val="29"/>
    <w:qFormat/>
    <w:pPr>
      <w:ind w:left="720" w:right="720"/>
    </w:pPr>
    <w:rPr>
      <w:i/>
    </w:rPr>
  </w:style>
  <w:style w:type="character" w:styleId="668" w:customStyle="1">
    <w:name w:val="Цитата 2 Знак"/>
    <w:link w:val="667"/>
    <w:uiPriority w:val="29"/>
    <w:rPr>
      <w:i/>
    </w:rPr>
  </w:style>
  <w:style w:type="paragraph" w:styleId="669">
    <w:name w:val="Intense Quote"/>
    <w:basedOn w:val="640"/>
    <w:next w:val="640"/>
    <w:link w:val="67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0" w:customStyle="1">
    <w:name w:val="Выделенная цитата Знак"/>
    <w:link w:val="669"/>
    <w:uiPriority w:val="30"/>
    <w:rPr>
      <w:i/>
    </w:rPr>
  </w:style>
  <w:style w:type="paragraph" w:styleId="671">
    <w:name w:val="Header"/>
    <w:basedOn w:val="640"/>
    <w:link w:val="6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2" w:customStyle="1">
    <w:name w:val="Верхний колонтитул Знак"/>
    <w:basedOn w:val="650"/>
    <w:link w:val="671"/>
    <w:uiPriority w:val="99"/>
  </w:style>
  <w:style w:type="paragraph" w:styleId="673">
    <w:name w:val="Footer"/>
    <w:basedOn w:val="640"/>
    <w:link w:val="6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4" w:customStyle="1">
    <w:name w:val="Footer Char"/>
    <w:basedOn w:val="650"/>
    <w:uiPriority w:val="99"/>
  </w:style>
  <w:style w:type="paragraph" w:styleId="675">
    <w:name w:val="Caption"/>
    <w:basedOn w:val="640"/>
    <w:next w:val="64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676" w:customStyle="1">
    <w:name w:val="Нижний колонтитул Знак"/>
    <w:link w:val="673"/>
    <w:uiPriority w:val="99"/>
  </w:style>
  <w:style w:type="table" w:styleId="677">
    <w:name w:val="Table Grid"/>
    <w:basedOn w:val="65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8" w:customStyle="1">
    <w:name w:val="Table Grid Light"/>
    <w:basedOn w:val="65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79">
    <w:name w:val="Plain Table 1"/>
    <w:basedOn w:val="65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2"/>
    <w:basedOn w:val="65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3"/>
    <w:basedOn w:val="6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2">
    <w:name w:val="Plain Table 4"/>
    <w:basedOn w:val="6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Plain Table 5"/>
    <w:basedOn w:val="6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4">
    <w:name w:val="Grid Table 1 Light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 w:customStyle="1">
    <w:name w:val="Grid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 w:customStyle="1">
    <w:name w:val="Grid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 w:customStyle="1">
    <w:name w:val="Grid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 w:customStyle="1">
    <w:name w:val="Grid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Grid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 w:customStyle="1">
    <w:name w:val="Grid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 w:customStyle="1">
    <w:name w:val="Grid Table 2 - Accent 1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 w:customStyle="1">
    <w:name w:val="Grid Table 2 - Accent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2 - Accent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2 - Accent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2 - Accent 5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2 - Accent 6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3 - Accent 1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3 - Accent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3 - Accent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3 - Accent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3 - Accent 5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3 - Accent 6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4"/>
    <w:basedOn w:val="6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6" w:customStyle="1">
    <w:name w:val="Grid Table 4 - Accent 1"/>
    <w:basedOn w:val="6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07" w:customStyle="1">
    <w:name w:val="Grid Table 4 - Accent 2"/>
    <w:basedOn w:val="6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08" w:customStyle="1">
    <w:name w:val="Grid Table 4 - Accent 3"/>
    <w:basedOn w:val="6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09" w:customStyle="1">
    <w:name w:val="Grid Table 4 - Accent 4"/>
    <w:basedOn w:val="6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10" w:customStyle="1">
    <w:name w:val="Grid Table 4 - Accent 5"/>
    <w:basedOn w:val="6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11" w:customStyle="1">
    <w:name w:val="Grid Table 4 - Accent 6"/>
    <w:basedOn w:val="6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12">
    <w:name w:val="Grid Table 5 Dark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3" w:customStyle="1">
    <w:name w:val="Grid Table 5 Dark- Accent 1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14" w:customStyle="1">
    <w:name w:val="Grid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15" w:customStyle="1">
    <w:name w:val="Grid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16" w:customStyle="1">
    <w:name w:val="Grid Table 5 Dark- Accent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17" w:customStyle="1">
    <w:name w:val="Grid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18" w:customStyle="1">
    <w:name w:val="Grid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19">
    <w:name w:val="Grid Table 6 Colorful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0" w:customStyle="1">
    <w:name w:val="Grid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21" w:customStyle="1">
    <w:name w:val="Grid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22" w:customStyle="1">
    <w:name w:val="Grid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23" w:customStyle="1">
    <w:name w:val="Grid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24" w:customStyle="1">
    <w:name w:val="Grid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25" w:customStyle="1">
    <w:name w:val="Grid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26">
    <w:name w:val="Grid Table 7 Colorful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7" w:customStyle="1">
    <w:name w:val="Grid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0B7E1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0B7E1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8" w:customStyle="1">
    <w:name w:val="Grid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9" w:customStyle="1">
    <w:name w:val="Grid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0" w:customStyle="1">
    <w:name w:val="Grid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1" w:customStyle="1">
    <w:name w:val="Grid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2C6E7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A2C6E7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2" w:customStyle="1">
    <w:name w:val="Grid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3">
    <w:name w:val="List Table 1 Light"/>
    <w:basedOn w:val="6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List Table 1 Light - Accent 1"/>
    <w:basedOn w:val="6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List Table 1 Light - Accent 2"/>
    <w:basedOn w:val="6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List Table 1 Light - Accent 3"/>
    <w:basedOn w:val="6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List Table 1 Light - Accent 4"/>
    <w:basedOn w:val="6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List Table 1 Light - Accent 5"/>
    <w:basedOn w:val="6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List Table 1 Light - Accent 6"/>
    <w:basedOn w:val="6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1" w:customStyle="1">
    <w:name w:val="List Table 2 - Accent 1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42" w:customStyle="1">
    <w:name w:val="List Table 2 - Accent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43" w:customStyle="1">
    <w:name w:val="List Table 2 - Accent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44" w:customStyle="1">
    <w:name w:val="List Table 2 - Accent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45" w:customStyle="1">
    <w:name w:val="List Table 2 - Accent 5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46" w:customStyle="1">
    <w:name w:val="List Table 2 - Accent 6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47">
    <w:name w:val="List Table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List Table 3 - Accent 1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List Table 3 - Accent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3 - Accent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3 - Accent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3 - Accent 5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3 - Accent 6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4 - Accent 1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4 - Accent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4 - Accent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4 - Accent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4 - Accent 5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4 - Accent 6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5 Dark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2" w:customStyle="1">
    <w:name w:val="List Table 5 Dark - Accent 1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3" w:customStyle="1">
    <w:name w:val="List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4" w:customStyle="1">
    <w:name w:val="List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5" w:customStyle="1">
    <w:name w:val="List Table 5 Dark - Accent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6" w:customStyle="1">
    <w:name w:val="List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7" w:customStyle="1">
    <w:name w:val="List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>
    <w:name w:val="List Table 6 Colorful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9" w:customStyle="1">
    <w:name w:val="List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770" w:customStyle="1">
    <w:name w:val="List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71" w:customStyle="1">
    <w:name w:val="List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72" w:customStyle="1">
    <w:name w:val="List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73" w:customStyle="1">
    <w:name w:val="List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774" w:customStyle="1">
    <w:name w:val="List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75">
    <w:name w:val="List Table 7 Colorful"/>
    <w:basedOn w:val="6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6" w:customStyle="1">
    <w:name w:val="List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7" w:customStyle="1">
    <w:name w:val="List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8" w:customStyle="1">
    <w:name w:val="List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9" w:customStyle="1">
    <w:name w:val="List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0" w:customStyle="1">
    <w:name w:val="List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BC2E5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BC2E5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1" w:customStyle="1">
    <w:name w:val="List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2" w:customStyle="1">
    <w:name w:val="Lined - Accent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3" w:customStyle="1">
    <w:name w:val="Lined - Accent 1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784" w:customStyle="1">
    <w:name w:val="Lined - Accent 2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85" w:customStyle="1">
    <w:name w:val="Lined - Accent 3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86" w:customStyle="1">
    <w:name w:val="Lined - Accent 4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87" w:customStyle="1">
    <w:name w:val="Lined - Accent 5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788" w:customStyle="1">
    <w:name w:val="Lined - Accent 6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89" w:customStyle="1">
    <w:name w:val="Bordered &amp; Lined - Accent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0" w:customStyle="1">
    <w:name w:val="Bordered &amp; Lined - Accent 1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791" w:customStyle="1">
    <w:name w:val="Bordered &amp; Lined - Accent 2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2" w:customStyle="1">
    <w:name w:val="Bordered &amp; Lined - Accent 3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3" w:customStyle="1">
    <w:name w:val="Bordered &amp; Lined - Accent 4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4" w:customStyle="1">
    <w:name w:val="Bordered &amp; Lined - Accent 5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795" w:customStyle="1">
    <w:name w:val="Bordered &amp; Lined - Accent 6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96" w:customStyle="1">
    <w:name w:val="Bordered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797" w:customStyle="1">
    <w:name w:val="Bordered - Accent 1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798" w:customStyle="1">
    <w:name w:val="Bordered - Accent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799" w:customStyle="1">
    <w:name w:val="Bordered - Accent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00" w:customStyle="1">
    <w:name w:val="Bordered - Accent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01" w:customStyle="1">
    <w:name w:val="Bordered - Accent 5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02" w:customStyle="1">
    <w:name w:val="Bordered - Accent 6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03">
    <w:name w:val="Hyperlink"/>
    <w:uiPriority w:val="99"/>
    <w:unhideWhenUsed/>
    <w:rPr>
      <w:color w:val="0563C1" w:themeColor="hyperlink"/>
      <w:u w:val="single"/>
    </w:rPr>
  </w:style>
  <w:style w:type="paragraph" w:styleId="804">
    <w:name w:val="footnote text"/>
    <w:basedOn w:val="640"/>
    <w:link w:val="805"/>
    <w:uiPriority w:val="99"/>
    <w:semiHidden/>
    <w:unhideWhenUsed/>
    <w:pPr>
      <w:spacing w:after="40" w:line="240" w:lineRule="auto"/>
    </w:pPr>
    <w:rPr>
      <w:sz w:val="18"/>
    </w:rPr>
  </w:style>
  <w:style w:type="character" w:styleId="805" w:customStyle="1">
    <w:name w:val="Текст сноски Знак"/>
    <w:link w:val="804"/>
    <w:uiPriority w:val="99"/>
    <w:rPr>
      <w:sz w:val="18"/>
    </w:rPr>
  </w:style>
  <w:style w:type="character" w:styleId="806">
    <w:name w:val="footnote reference"/>
    <w:basedOn w:val="650"/>
    <w:uiPriority w:val="99"/>
    <w:unhideWhenUsed/>
    <w:rPr>
      <w:vertAlign w:val="superscript"/>
    </w:rPr>
  </w:style>
  <w:style w:type="paragraph" w:styleId="807">
    <w:name w:val="endnote text"/>
    <w:basedOn w:val="640"/>
    <w:link w:val="808"/>
    <w:uiPriority w:val="99"/>
    <w:semiHidden/>
    <w:unhideWhenUsed/>
    <w:pPr>
      <w:spacing w:after="0" w:line="240" w:lineRule="auto"/>
    </w:pPr>
    <w:rPr>
      <w:sz w:val="20"/>
    </w:rPr>
  </w:style>
  <w:style w:type="character" w:styleId="808" w:customStyle="1">
    <w:name w:val="Текст концевой сноски Знак"/>
    <w:link w:val="807"/>
    <w:uiPriority w:val="99"/>
    <w:rPr>
      <w:sz w:val="20"/>
    </w:rPr>
  </w:style>
  <w:style w:type="character" w:styleId="809">
    <w:name w:val="endnote reference"/>
    <w:basedOn w:val="650"/>
    <w:uiPriority w:val="99"/>
    <w:semiHidden/>
    <w:unhideWhenUsed/>
    <w:rPr>
      <w:vertAlign w:val="superscript"/>
    </w:rPr>
  </w:style>
  <w:style w:type="paragraph" w:styleId="810">
    <w:name w:val="toc 1"/>
    <w:basedOn w:val="640"/>
    <w:next w:val="640"/>
    <w:uiPriority w:val="39"/>
    <w:unhideWhenUsed/>
    <w:pPr>
      <w:spacing w:after="57"/>
    </w:pPr>
  </w:style>
  <w:style w:type="paragraph" w:styleId="811">
    <w:name w:val="toc 2"/>
    <w:basedOn w:val="640"/>
    <w:next w:val="640"/>
    <w:uiPriority w:val="39"/>
    <w:unhideWhenUsed/>
    <w:pPr>
      <w:ind w:left="283"/>
      <w:spacing w:after="57"/>
    </w:pPr>
  </w:style>
  <w:style w:type="paragraph" w:styleId="812">
    <w:name w:val="toc 3"/>
    <w:basedOn w:val="640"/>
    <w:next w:val="640"/>
    <w:uiPriority w:val="39"/>
    <w:unhideWhenUsed/>
    <w:pPr>
      <w:ind w:left="567"/>
      <w:spacing w:after="57"/>
    </w:pPr>
  </w:style>
  <w:style w:type="paragraph" w:styleId="813">
    <w:name w:val="toc 4"/>
    <w:basedOn w:val="640"/>
    <w:next w:val="640"/>
    <w:uiPriority w:val="39"/>
    <w:unhideWhenUsed/>
    <w:pPr>
      <w:ind w:left="850"/>
      <w:spacing w:after="57"/>
    </w:pPr>
  </w:style>
  <w:style w:type="paragraph" w:styleId="814">
    <w:name w:val="toc 5"/>
    <w:basedOn w:val="640"/>
    <w:next w:val="640"/>
    <w:uiPriority w:val="39"/>
    <w:unhideWhenUsed/>
    <w:pPr>
      <w:ind w:left="1134"/>
      <w:spacing w:after="57"/>
    </w:pPr>
  </w:style>
  <w:style w:type="paragraph" w:styleId="815">
    <w:name w:val="toc 6"/>
    <w:basedOn w:val="640"/>
    <w:next w:val="640"/>
    <w:uiPriority w:val="39"/>
    <w:unhideWhenUsed/>
    <w:pPr>
      <w:ind w:left="1417"/>
      <w:spacing w:after="57"/>
    </w:pPr>
  </w:style>
  <w:style w:type="paragraph" w:styleId="816">
    <w:name w:val="toc 7"/>
    <w:basedOn w:val="640"/>
    <w:next w:val="640"/>
    <w:uiPriority w:val="39"/>
    <w:unhideWhenUsed/>
    <w:pPr>
      <w:ind w:left="1701"/>
      <w:spacing w:after="57"/>
    </w:pPr>
  </w:style>
  <w:style w:type="paragraph" w:styleId="817">
    <w:name w:val="toc 8"/>
    <w:basedOn w:val="640"/>
    <w:next w:val="640"/>
    <w:uiPriority w:val="39"/>
    <w:unhideWhenUsed/>
    <w:pPr>
      <w:ind w:left="1984"/>
      <w:spacing w:after="57"/>
    </w:pPr>
  </w:style>
  <w:style w:type="paragraph" w:styleId="818">
    <w:name w:val="toc 9"/>
    <w:basedOn w:val="640"/>
    <w:next w:val="640"/>
    <w:uiPriority w:val="39"/>
    <w:unhideWhenUsed/>
    <w:pPr>
      <w:ind w:left="2268"/>
      <w:spacing w:after="57"/>
    </w:pPr>
  </w:style>
  <w:style w:type="paragraph" w:styleId="819">
    <w:name w:val="TOC Heading"/>
    <w:uiPriority w:val="39"/>
    <w:unhideWhenUsed/>
  </w:style>
  <w:style w:type="paragraph" w:styleId="820">
    <w:name w:val="table of figures"/>
    <w:basedOn w:val="640"/>
    <w:next w:val="640"/>
    <w:uiPriority w:val="99"/>
    <w:unhideWhenUsed/>
    <w:pPr>
      <w:spacing w:after="0"/>
    </w:pPr>
  </w:style>
  <w:style w:type="paragraph" w:styleId="821">
    <w:name w:val="List Paragraph"/>
    <w:basedOn w:val="640"/>
    <w:uiPriority w:val="34"/>
    <w:qFormat/>
    <w:pPr>
      <w:contextualSpacing/>
      <w:ind w:left="720"/>
    </w:pPr>
  </w:style>
  <w:style w:type="character" w:styleId="822" w:customStyle="1">
    <w:name w:val="Заголовок 2 Знак"/>
    <w:basedOn w:val="650"/>
    <w:link w:val="64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823" w:customStyle="1">
    <w:name w:val="Заголовок 3 Знак"/>
    <w:basedOn w:val="650"/>
    <w:link w:val="643"/>
    <w:uiPriority w:val="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824" w:customStyle="1">
    <w:name w:val="Заголовок 1 Знак"/>
    <w:basedOn w:val="650"/>
    <w:link w:val="64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Иван Спиридонов</cp:lastModifiedBy>
  <cp:revision>3</cp:revision>
  <dcterms:created xsi:type="dcterms:W3CDTF">2022-12-05T09:33:00Z</dcterms:created>
  <dcterms:modified xsi:type="dcterms:W3CDTF">2023-03-02T08:08:41Z</dcterms:modified>
</cp:coreProperties>
</file>